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47D" w:rsidRPr="001D5ADE" w:rsidRDefault="00AB447D" w:rsidP="00182F2B">
      <w:pPr>
        <w:jc w:val="center"/>
        <w:rPr>
          <w:rFonts w:ascii="Times New Roman" w:hAnsi="Times New Roman"/>
          <w:b/>
          <w:sz w:val="24"/>
          <w:szCs w:val="24"/>
        </w:rPr>
      </w:pPr>
      <w:r>
        <w:rPr>
          <w:rFonts w:ascii="Times New Roman" w:hAnsi="Times New Roman"/>
          <w:b/>
          <w:sz w:val="32"/>
          <w:szCs w:val="32"/>
        </w:rPr>
        <w:t>Lab #8 Preparation of</w:t>
      </w:r>
      <w:r w:rsidRPr="001D5ADE">
        <w:rPr>
          <w:rFonts w:ascii="Times New Roman" w:hAnsi="Times New Roman"/>
          <w:b/>
          <w:sz w:val="32"/>
          <w:szCs w:val="32"/>
        </w:rPr>
        <w:t xml:space="preserve"> Benzoic Acid using a Grignard Reagent</w:t>
      </w: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r w:rsidRPr="001D5ADE">
        <w:rPr>
          <w:rFonts w:ascii="Times New Roman" w:hAnsi="Times New Roman"/>
          <w:b/>
          <w:sz w:val="24"/>
          <w:szCs w:val="24"/>
        </w:rPr>
        <w:t>Yousef Al-Enzi</w:t>
      </w:r>
    </w:p>
    <w:p w:rsidR="00AB447D" w:rsidRPr="001D5ADE" w:rsidRDefault="00AB447D" w:rsidP="009B1ACB">
      <w:pPr>
        <w:jc w:val="center"/>
        <w:rPr>
          <w:rFonts w:ascii="Times New Roman" w:hAnsi="Times New Roman"/>
          <w:b/>
          <w:sz w:val="24"/>
          <w:szCs w:val="24"/>
        </w:rPr>
      </w:pPr>
      <w:r w:rsidRPr="001D5ADE">
        <w:rPr>
          <w:rFonts w:ascii="Times New Roman" w:hAnsi="Times New Roman"/>
          <w:b/>
          <w:sz w:val="24"/>
          <w:szCs w:val="24"/>
        </w:rPr>
        <w:t>5259294</w:t>
      </w: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r w:rsidRPr="001D5ADE">
        <w:rPr>
          <w:rFonts w:ascii="Times New Roman" w:hAnsi="Times New Roman"/>
          <w:b/>
          <w:sz w:val="24"/>
          <w:szCs w:val="24"/>
        </w:rPr>
        <w:t>CMH 1321</w:t>
      </w: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r w:rsidRPr="001D5ADE">
        <w:rPr>
          <w:rFonts w:ascii="Times New Roman" w:hAnsi="Times New Roman"/>
          <w:b/>
          <w:sz w:val="24"/>
          <w:szCs w:val="24"/>
        </w:rPr>
        <w:t>TA: Daria Klanowski</w:t>
      </w: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r w:rsidRPr="001D5ADE">
        <w:rPr>
          <w:rFonts w:ascii="Times New Roman" w:hAnsi="Times New Roman"/>
          <w:b/>
          <w:sz w:val="24"/>
          <w:szCs w:val="24"/>
        </w:rPr>
        <w:t>April 1, 2009</w:t>
      </w: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r w:rsidRPr="001D5ADE">
        <w:rPr>
          <w:rFonts w:ascii="Times New Roman" w:hAnsi="Times New Roman"/>
          <w:b/>
          <w:sz w:val="24"/>
          <w:szCs w:val="24"/>
        </w:rPr>
        <w:t>Department of Chemistry</w:t>
      </w: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p>
    <w:p w:rsidR="00AB447D" w:rsidRPr="001D5ADE" w:rsidRDefault="00AB447D" w:rsidP="009B1ACB">
      <w:pPr>
        <w:jc w:val="center"/>
        <w:rPr>
          <w:rFonts w:ascii="Times New Roman" w:hAnsi="Times New Roman"/>
          <w:b/>
          <w:sz w:val="24"/>
          <w:szCs w:val="24"/>
        </w:rPr>
      </w:pPr>
      <w:r w:rsidRPr="001D5ADE">
        <w:rPr>
          <w:rFonts w:ascii="Times New Roman" w:hAnsi="Times New Roman"/>
          <w:b/>
          <w:sz w:val="24"/>
          <w:szCs w:val="24"/>
        </w:rPr>
        <w:t>University of Ottawa</w:t>
      </w:r>
      <w:r w:rsidRPr="001D5ADE">
        <w:rPr>
          <w:rFonts w:ascii="Times New Roman" w:hAnsi="Times New Roman"/>
          <w:b/>
          <w:sz w:val="24"/>
          <w:szCs w:val="24"/>
        </w:rPr>
        <w:br w:type="page"/>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b/>
          <w:sz w:val="24"/>
          <w:szCs w:val="24"/>
        </w:rPr>
        <w:t>Purpose</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In this experiment we will synthesize benzoic acid using a Grignard reagent.</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b/>
          <w:sz w:val="24"/>
          <w:szCs w:val="24"/>
        </w:rPr>
        <w:t xml:space="preserve">Introduction </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ab/>
        <w:t>Grignard reagents have the general structure RMgX, where R can be an alkyl, vinyl, or arly; and X is a halogen (usually bromine or chlorine). The preparation of these reagents requires the reaction of an organo-halide compound, R-X, with magnesium metal. As the reaction precedes the magnesium metal become oxidized from Mg</w:t>
      </w:r>
      <w:r w:rsidRPr="001D5ADE">
        <w:rPr>
          <w:rFonts w:ascii="Times New Roman" w:hAnsi="Times New Roman"/>
          <w:sz w:val="24"/>
          <w:szCs w:val="24"/>
          <w:vertAlign w:val="superscript"/>
        </w:rPr>
        <w:t>o</w:t>
      </w:r>
      <w:r w:rsidRPr="001D5ADE">
        <w:rPr>
          <w:rFonts w:ascii="Times New Roman" w:hAnsi="Times New Roman"/>
          <w:sz w:val="24"/>
          <w:szCs w:val="24"/>
        </w:rPr>
        <w:t xml:space="preserve"> to Mg</w:t>
      </w:r>
      <w:r w:rsidRPr="001D5ADE">
        <w:rPr>
          <w:rFonts w:ascii="Times New Roman" w:hAnsi="Times New Roman"/>
          <w:sz w:val="24"/>
          <w:szCs w:val="24"/>
          <w:vertAlign w:val="superscript"/>
        </w:rPr>
        <w:t>+2</w:t>
      </w:r>
      <w:r w:rsidRPr="001D5ADE">
        <w:rPr>
          <w:rFonts w:ascii="Times New Roman" w:hAnsi="Times New Roman"/>
          <w:sz w:val="24"/>
          <w:szCs w:val="24"/>
        </w:rPr>
        <w:t>. This allows the α carbon of the Grignard reagent to become formally negative and now is a nucleophile. An important reaction of Grignard reagents are nucleophilic displacements with compounds that contain polarized bonds. The best examples are aldehydes, ketones, and esters, which lead to the formation of secondary alcohols from aldehydes and tertiary alcohols from ketones and esters respectively. By observing the mechanisms of each case, it is noticeable that they are very similar:</w:t>
      </w: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As seen above the addition of Grignard to aldehydes or ketones creates secondary and tertiary alcohols respectively. With the production of magnesium alkoxides at the end of the reaction, these alkoxides must be hydrolyzed during the workup phase. This can be performed with a mild acid to provide the free hydroxyls and magnesium salts.</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ab/>
        <w:t xml:space="preserve">The addition of Grignard to esters creates an initial magnesium hemiacetal that collapses to from a ketone. This ketone then reacts with a second molecule of Grignard reagent to form the alcohol product. The mechanism of involving ketones can be represented as follows: </w:t>
      </w: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Since this ketone is more reactive than an ester, it is very difficult to stop the Grignard additions to esters after the first step. Therefore, the magnesium hemiacetal is unstable because the α carbon of the ester possesses both a nucleophile and a reasonably good leaving group. Finally, this intermediate collapse can be considered a type of nucleophilic displacement.</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ab/>
        <w:t>The Grignard reagent adds to the carbonyl component forming the magnesium alkoxide R</w:t>
      </w:r>
      <w:r w:rsidRPr="001D5ADE">
        <w:rPr>
          <w:rFonts w:ascii="Times New Roman" w:hAnsi="Times New Roman"/>
          <w:sz w:val="24"/>
          <w:szCs w:val="24"/>
          <w:vertAlign w:val="subscript"/>
        </w:rPr>
        <w:t>1</w:t>
      </w:r>
      <w:r w:rsidRPr="001D5ADE">
        <w:rPr>
          <w:rFonts w:ascii="Times New Roman" w:hAnsi="Times New Roman"/>
          <w:sz w:val="24"/>
          <w:szCs w:val="24"/>
        </w:rPr>
        <w:t>R</w:t>
      </w:r>
      <w:r w:rsidRPr="001D5ADE">
        <w:rPr>
          <w:rFonts w:ascii="Times New Roman" w:hAnsi="Times New Roman"/>
          <w:sz w:val="24"/>
          <w:szCs w:val="24"/>
          <w:vertAlign w:val="subscript"/>
        </w:rPr>
        <w:t>2</w:t>
      </w:r>
      <w:r w:rsidRPr="001D5ADE">
        <w:rPr>
          <w:rFonts w:ascii="Times New Roman" w:hAnsi="Times New Roman"/>
          <w:sz w:val="24"/>
          <w:szCs w:val="24"/>
        </w:rPr>
        <w:t>COMgX. The workup part of the process is where the H</w:t>
      </w:r>
      <w:r w:rsidRPr="001D5ADE">
        <w:rPr>
          <w:rFonts w:ascii="Times New Roman" w:hAnsi="Times New Roman"/>
          <w:sz w:val="24"/>
          <w:szCs w:val="24"/>
          <w:vertAlign w:val="superscript"/>
        </w:rPr>
        <w:t>+</w:t>
      </w:r>
      <w:r w:rsidRPr="001D5ADE">
        <w:rPr>
          <w:rFonts w:ascii="Times New Roman" w:hAnsi="Times New Roman"/>
          <w:sz w:val="24"/>
          <w:szCs w:val="24"/>
        </w:rPr>
        <w:t xml:space="preserve"> and H</w:t>
      </w:r>
      <w:r w:rsidRPr="001D5ADE">
        <w:rPr>
          <w:rFonts w:ascii="Times New Roman" w:hAnsi="Times New Roman"/>
          <w:sz w:val="24"/>
          <w:szCs w:val="24"/>
          <w:vertAlign w:val="subscript"/>
        </w:rPr>
        <w:t>2</w:t>
      </w:r>
      <w:r w:rsidRPr="001D5ADE">
        <w:rPr>
          <w:rFonts w:ascii="Times New Roman" w:hAnsi="Times New Roman"/>
          <w:sz w:val="24"/>
          <w:szCs w:val="24"/>
        </w:rPr>
        <w:t>O are used because it involves the isolation of the desired product. If carbon dioxide is used as the carbonyl component, the resulting product after the workup will be a carboxyl acid having one more carbon in the chain than the Grignard reagent. However, the intermediate magnesium carboxylate is a poor electrophile and so the second addition of the Grignard to the carbonyl will not occur.</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ab/>
        <w:t xml:space="preserve">A very important factor that must be taken into consideration is the reaction with water. If there is any presence of water in the reaction mixture it will terminate the Grignard reaction. This occurs because water protonates any Grignard reaction, and will strongly interfere with the formation of the magnesium intermediate. </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sz w:val="24"/>
          <w:szCs w:val="24"/>
        </w:rPr>
        <w:tab/>
        <w:t>In all Grignard reactions, the initial product that is formed is a magnesium salt that has an oxygen-magnesium bond. This bond must be hydrolyzed to “free up” the desired alcohol and remove the magnesium salts. This hydrolysis can be performed with a mild acid, which is important because it affects the workup process.</w:t>
      </w:r>
    </w:p>
    <w:p w:rsidR="00AB447D" w:rsidRPr="001D5ADE" w:rsidRDefault="00AB447D" w:rsidP="009160F2">
      <w:pPr>
        <w:pStyle w:val="NoSpacing"/>
        <w:spacing w:line="360" w:lineRule="auto"/>
        <w:rPr>
          <w:rFonts w:ascii="Times New Roman" w:hAnsi="Times New Roman"/>
          <w:b/>
          <w:sz w:val="24"/>
          <w:szCs w:val="24"/>
        </w:rPr>
      </w:pPr>
    </w:p>
    <w:p w:rsidR="00AB447D" w:rsidRPr="001D5ADE" w:rsidRDefault="00AB447D" w:rsidP="009160F2">
      <w:pPr>
        <w:pStyle w:val="NoSpacing"/>
        <w:spacing w:line="360" w:lineRule="auto"/>
        <w:rPr>
          <w:rFonts w:ascii="Times New Roman" w:hAnsi="Times New Roman"/>
          <w:b/>
          <w:sz w:val="24"/>
          <w:szCs w:val="24"/>
        </w:rPr>
      </w:pPr>
    </w:p>
    <w:p w:rsidR="00AB447D" w:rsidRPr="001D5ADE" w:rsidRDefault="00AB447D" w:rsidP="009160F2">
      <w:pPr>
        <w:pStyle w:val="NoSpacing"/>
        <w:spacing w:line="360" w:lineRule="auto"/>
        <w:rPr>
          <w:rFonts w:ascii="Times New Roman" w:hAnsi="Times New Roman"/>
          <w:b/>
          <w:sz w:val="24"/>
          <w:szCs w:val="24"/>
        </w:rPr>
      </w:pPr>
    </w:p>
    <w:p w:rsidR="00AB447D" w:rsidRPr="001D5ADE" w:rsidRDefault="00AB447D" w:rsidP="009160F2">
      <w:pPr>
        <w:pStyle w:val="NoSpacing"/>
        <w:spacing w:line="360" w:lineRule="auto"/>
        <w:rPr>
          <w:rFonts w:ascii="Times New Roman" w:hAnsi="Times New Roman"/>
          <w:b/>
          <w:sz w:val="24"/>
          <w:szCs w:val="24"/>
        </w:rPr>
      </w:pPr>
    </w:p>
    <w:p w:rsidR="00AB447D" w:rsidRPr="001D5ADE" w:rsidRDefault="00AB447D" w:rsidP="009160F2">
      <w:pPr>
        <w:pStyle w:val="NoSpacing"/>
        <w:spacing w:line="360" w:lineRule="auto"/>
        <w:rPr>
          <w:rFonts w:ascii="Times New Roman" w:hAnsi="Times New Roman"/>
          <w:b/>
          <w:sz w:val="24"/>
          <w:szCs w:val="24"/>
        </w:rPr>
      </w:pP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b/>
          <w:sz w:val="24"/>
          <w:szCs w:val="24"/>
        </w:rPr>
        <w:t>Procedure</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i/>
          <w:sz w:val="24"/>
          <w:szCs w:val="24"/>
        </w:rPr>
        <w:t>Preparation of the Grignard Reagent:</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Place 0.8g Mg turnings with two small crystals of iodine in a 50mL round-bottom flask.</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 xml:space="preserve">Place 3mL of bromobenzene in 20mL of anhydrous diethyl ether in another 50mL beaker. </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Making sure that all the glassware is CLEAN and DRY, quickly assemble the reflux apparatus.</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Add the Mg turning and iodine into the flask of the reflux apparatus and than pour half of the solution into the flask.</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Swirl gently until any reddish I</w:t>
      </w:r>
      <w:r w:rsidRPr="001D5ADE">
        <w:rPr>
          <w:rFonts w:ascii="Times New Roman" w:hAnsi="Times New Roman"/>
          <w:sz w:val="24"/>
          <w:szCs w:val="24"/>
          <w:vertAlign w:val="subscript"/>
        </w:rPr>
        <w:t xml:space="preserve">2 </w:t>
      </w:r>
      <w:r w:rsidRPr="001D5ADE">
        <w:rPr>
          <w:rFonts w:ascii="Times New Roman" w:hAnsi="Times New Roman"/>
          <w:sz w:val="24"/>
          <w:szCs w:val="24"/>
        </w:rPr>
        <w:t>disappears, which indicates when the reaction has begun.</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An exothermic reaction should start in a few minutes. After the reaction has started, add the remaining bromobenzene solution slowly through the top of the condenser at a rate that the solvent keeps refluxing gently.</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Allow the mixture to boil on its own to ensure that the reaction is taking place. As the boiling subsides, use a hot water bath to continue the reflux for another 20 to 30 minutes.</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The magnesium should disappear and the solution turns a cloudy brown. If the solution turns a milky-white, this indicates that it has been contaminated with water.</w:t>
      </w:r>
    </w:p>
    <w:p w:rsidR="00AB447D" w:rsidRPr="001D5ADE" w:rsidRDefault="00AB447D" w:rsidP="00907F56">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At the end you should have a dark but clear solution of phenylmagnesium bromide in diethyl ether.</w:t>
      </w:r>
    </w:p>
    <w:p w:rsidR="00AB447D" w:rsidRPr="001D5ADE" w:rsidRDefault="00AB447D" w:rsidP="00AB6FA1">
      <w:pPr>
        <w:pStyle w:val="NoSpacing"/>
        <w:spacing w:line="360" w:lineRule="auto"/>
        <w:rPr>
          <w:rFonts w:ascii="Times New Roman" w:hAnsi="Times New Roman"/>
          <w:sz w:val="24"/>
          <w:szCs w:val="24"/>
        </w:rPr>
      </w:pPr>
      <w:r w:rsidRPr="001D5ADE">
        <w:rPr>
          <w:rFonts w:ascii="Times New Roman" w:hAnsi="Times New Roman"/>
          <w:i/>
          <w:sz w:val="24"/>
          <w:szCs w:val="24"/>
        </w:rPr>
        <w:t>Reaction with Carbon Dioxide:</w:t>
      </w:r>
    </w:p>
    <w:p w:rsidR="00AB447D" w:rsidRPr="001D5ADE" w:rsidRDefault="00AB447D" w:rsidP="00AB6FA1">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Remove the flask from the hot water bath and allow any undissolved residue to settle.</w:t>
      </w:r>
    </w:p>
    <w:p w:rsidR="00AB447D" w:rsidRPr="001D5ADE" w:rsidRDefault="00AB447D" w:rsidP="00AB6FA1">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With FRESHLY OBTAINED dry ice powder in a DRY 100mL beaker decant the solution with a glass rod over a period of 15-30 seconds.</w:t>
      </w:r>
    </w:p>
    <w:p w:rsidR="00AB447D" w:rsidRPr="001D5ADE" w:rsidRDefault="00AB447D" w:rsidP="000B5E5E">
      <w:pPr>
        <w:pStyle w:val="NoSpacing"/>
        <w:spacing w:line="360" w:lineRule="auto"/>
        <w:rPr>
          <w:rFonts w:ascii="Times New Roman" w:hAnsi="Times New Roman"/>
          <w:sz w:val="24"/>
          <w:szCs w:val="24"/>
        </w:rPr>
      </w:pPr>
      <w:r w:rsidRPr="001D5ADE">
        <w:rPr>
          <w:rFonts w:ascii="Times New Roman" w:hAnsi="Times New Roman"/>
          <w:i/>
          <w:sz w:val="24"/>
          <w:szCs w:val="24"/>
        </w:rPr>
        <w:t>Isolation of the Benzoic Acid:</w:t>
      </w:r>
    </w:p>
    <w:p w:rsidR="00AB447D" w:rsidRPr="001D5ADE" w:rsidRDefault="00AB447D" w:rsidP="000B5E5E">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Add about 20-30 g of water ice, 20mL of water, 5mL conc. HCl and 15mL diethyl ether to the resulting sticky mass.</w:t>
      </w:r>
    </w:p>
    <w:p w:rsidR="00AB447D" w:rsidRPr="001D5ADE" w:rsidRDefault="00AB447D" w:rsidP="000B5E5E">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Transfer the mixture to a separatory funnel. Rinse the beaker with 15mL of diethyl ether and add the rinsing to the separatory funnel.</w:t>
      </w:r>
    </w:p>
    <w:p w:rsidR="00AB447D" w:rsidRPr="001D5ADE" w:rsidRDefault="00AB447D" w:rsidP="000B5E5E">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Shake the mixture and separate the layers, storing them in separate containers. Re-extract the aqueous phase with another 15mL of ether, and combine the organic extracts.</w:t>
      </w:r>
    </w:p>
    <w:p w:rsidR="00AB447D" w:rsidRPr="001D5ADE" w:rsidRDefault="00AB447D" w:rsidP="000B5E5E">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Extract the combined organic phases twice, each time with 20mL of aqueous 10% NaOH solution.</w:t>
      </w:r>
    </w:p>
    <w:p w:rsidR="00AB447D" w:rsidRPr="001D5ADE" w:rsidRDefault="00AB447D" w:rsidP="000B5E5E">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Acidify the aqueous extracts by adding conc. HCl until the solution is strongly acidic and no precipitate is formed.</w:t>
      </w:r>
    </w:p>
    <w:p w:rsidR="00AB447D" w:rsidRPr="001D5ADE" w:rsidRDefault="00AB447D" w:rsidP="000B5E5E">
      <w:pPr>
        <w:pStyle w:val="NoSpacing"/>
        <w:numPr>
          <w:ilvl w:val="0"/>
          <w:numId w:val="2"/>
        </w:numPr>
        <w:spacing w:line="360" w:lineRule="auto"/>
        <w:rPr>
          <w:rFonts w:ascii="Times New Roman" w:hAnsi="Times New Roman"/>
          <w:sz w:val="24"/>
          <w:szCs w:val="24"/>
        </w:rPr>
      </w:pPr>
      <w:r w:rsidRPr="001D5ADE">
        <w:rPr>
          <w:rFonts w:ascii="Times New Roman" w:hAnsi="Times New Roman"/>
          <w:sz w:val="24"/>
          <w:szCs w:val="24"/>
        </w:rPr>
        <w:t>Cool the mixture in an ice bath and collect the solid product by suction filtration. Disperse the product onto a watch glass and take a small portion to determine the melting point of the product.</w:t>
      </w:r>
    </w:p>
    <w:p w:rsidR="00AB447D" w:rsidRPr="001D5ADE" w:rsidRDefault="00AB447D" w:rsidP="009160F2">
      <w:pPr>
        <w:pStyle w:val="NoSpacing"/>
        <w:spacing w:line="360" w:lineRule="auto"/>
        <w:rPr>
          <w:rFonts w:ascii="Times New Roman" w:hAnsi="Times New Roman"/>
          <w:sz w:val="24"/>
          <w:szCs w:val="24"/>
        </w:rPr>
      </w:pPr>
      <w:r w:rsidRPr="001D5ADE">
        <w:rPr>
          <w:rFonts w:ascii="Times New Roman" w:hAnsi="Times New Roman"/>
          <w:b/>
          <w:sz w:val="24"/>
          <w:szCs w:val="24"/>
        </w:rPr>
        <w:t>Observations and Results</w:t>
      </w:r>
    </w:p>
    <w:p w:rsidR="00AB447D" w:rsidRPr="001D5ADE" w:rsidRDefault="00AB447D" w:rsidP="00E322DF">
      <w:pPr>
        <w:pStyle w:val="NoSpacing"/>
        <w:spacing w:line="360" w:lineRule="auto"/>
        <w:rPr>
          <w:rFonts w:ascii="Times New Roman" w:hAnsi="Times New Roman"/>
          <w:sz w:val="24"/>
          <w:szCs w:val="24"/>
        </w:rPr>
      </w:pPr>
      <w:r w:rsidRPr="001D5ADE">
        <w:rPr>
          <w:rFonts w:ascii="Times New Roman" w:hAnsi="Times New Roman"/>
          <w:sz w:val="24"/>
          <w:szCs w:val="24"/>
        </w:rPr>
        <w:t>Table of Reagents</w:t>
      </w:r>
    </w:p>
    <w:tbl>
      <w:tblPr>
        <w:tblW w:w="0" w:type="auto"/>
        <w:tblBorders>
          <w:top w:val="single" w:sz="4" w:space="0" w:color="000000"/>
          <w:bottom w:val="single" w:sz="4" w:space="0" w:color="auto"/>
          <w:insideH w:val="single" w:sz="4" w:space="0" w:color="000000"/>
          <w:insideV w:val="single" w:sz="4" w:space="0" w:color="000000"/>
        </w:tblBorders>
        <w:tblLook w:val="00A0"/>
      </w:tblPr>
      <w:tblGrid>
        <w:gridCol w:w="1670"/>
        <w:gridCol w:w="1578"/>
        <w:gridCol w:w="1579"/>
        <w:gridCol w:w="1581"/>
        <w:gridCol w:w="1577"/>
      </w:tblGrid>
      <w:tr w:rsidR="00AB447D" w:rsidRPr="001D5ADE" w:rsidTr="00B92944">
        <w:tc>
          <w:tcPr>
            <w:tcW w:w="1670" w:type="dxa"/>
            <w:tcBorders>
              <w:bottom w:val="single" w:sz="4" w:space="0" w:color="auto"/>
              <w:right w:val="nil"/>
            </w:tcBorders>
          </w:tcPr>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Reagents</w:t>
            </w:r>
          </w:p>
        </w:tc>
        <w:tc>
          <w:tcPr>
            <w:tcW w:w="1578" w:type="dxa"/>
            <w:tcBorders>
              <w:left w:val="nil"/>
              <w:bottom w:val="single" w:sz="4" w:space="0" w:color="auto"/>
              <w:right w:val="nil"/>
            </w:tcBorders>
          </w:tcPr>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Mol. Wt</w:t>
            </w:r>
          </w:p>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(g/mol)</w:t>
            </w:r>
          </w:p>
        </w:tc>
        <w:tc>
          <w:tcPr>
            <w:tcW w:w="1579" w:type="dxa"/>
            <w:tcBorders>
              <w:left w:val="nil"/>
              <w:bottom w:val="single" w:sz="4" w:space="0" w:color="auto"/>
              <w:right w:val="nil"/>
            </w:tcBorders>
          </w:tcPr>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Density</w:t>
            </w:r>
          </w:p>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(g/mL)</w:t>
            </w:r>
          </w:p>
        </w:tc>
        <w:tc>
          <w:tcPr>
            <w:tcW w:w="1581" w:type="dxa"/>
            <w:tcBorders>
              <w:left w:val="nil"/>
              <w:bottom w:val="single" w:sz="4" w:space="0" w:color="auto"/>
              <w:right w:val="nil"/>
            </w:tcBorders>
          </w:tcPr>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Amount</w:t>
            </w:r>
          </w:p>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(g or mL)</w:t>
            </w:r>
          </w:p>
        </w:tc>
        <w:tc>
          <w:tcPr>
            <w:tcW w:w="1577" w:type="dxa"/>
            <w:tcBorders>
              <w:left w:val="nil"/>
              <w:bottom w:val="single" w:sz="4" w:space="0" w:color="auto"/>
              <w:right w:val="nil"/>
            </w:tcBorders>
          </w:tcPr>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Mole</w:t>
            </w:r>
          </w:p>
          <w:p w:rsidR="00AB447D" w:rsidRPr="001D5ADE" w:rsidRDefault="00AB447D" w:rsidP="00310B21">
            <w:pPr>
              <w:pStyle w:val="NoSpacing"/>
              <w:spacing w:line="360" w:lineRule="auto"/>
              <w:rPr>
                <w:rFonts w:ascii="Times New Roman" w:hAnsi="Times New Roman"/>
                <w:b/>
                <w:sz w:val="24"/>
                <w:szCs w:val="24"/>
              </w:rPr>
            </w:pPr>
            <w:r w:rsidRPr="001D5ADE">
              <w:rPr>
                <w:rFonts w:ascii="Times New Roman" w:hAnsi="Times New Roman"/>
                <w:b/>
                <w:sz w:val="24"/>
                <w:szCs w:val="24"/>
              </w:rPr>
              <w:t>(mol)</w:t>
            </w:r>
          </w:p>
        </w:tc>
      </w:tr>
      <w:tr w:rsidR="00AB447D" w:rsidRPr="001D5ADE" w:rsidTr="00B92944">
        <w:tc>
          <w:tcPr>
            <w:tcW w:w="1670" w:type="dxa"/>
            <w:tcBorders>
              <w:top w:val="single" w:sz="4" w:space="0" w:color="auto"/>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Magnesium</w:t>
            </w:r>
          </w:p>
        </w:tc>
        <w:tc>
          <w:tcPr>
            <w:tcW w:w="1578" w:type="dxa"/>
            <w:tcBorders>
              <w:top w:val="single" w:sz="4" w:space="0" w:color="auto"/>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24.3</w:t>
            </w:r>
          </w:p>
        </w:tc>
        <w:tc>
          <w:tcPr>
            <w:tcW w:w="1579" w:type="dxa"/>
            <w:tcBorders>
              <w:top w:val="single" w:sz="4" w:space="0" w:color="auto"/>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w:t>
            </w:r>
          </w:p>
        </w:tc>
        <w:tc>
          <w:tcPr>
            <w:tcW w:w="1581" w:type="dxa"/>
            <w:tcBorders>
              <w:top w:val="single" w:sz="4" w:space="0" w:color="auto"/>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0.81g</w:t>
            </w:r>
          </w:p>
        </w:tc>
        <w:tc>
          <w:tcPr>
            <w:tcW w:w="1577" w:type="dxa"/>
            <w:tcBorders>
              <w:top w:val="single" w:sz="4" w:space="0" w:color="auto"/>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0.033</w:t>
            </w:r>
          </w:p>
        </w:tc>
      </w:tr>
      <w:tr w:rsidR="00AB447D" w:rsidRPr="001D5ADE" w:rsidTr="00B92944">
        <w:tc>
          <w:tcPr>
            <w:tcW w:w="1670" w:type="dxa"/>
            <w:tcBorders>
              <w:top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Iodine</w:t>
            </w:r>
          </w:p>
        </w:tc>
        <w:tc>
          <w:tcPr>
            <w:tcW w:w="1578"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253.81</w:t>
            </w:r>
          </w:p>
        </w:tc>
        <w:tc>
          <w:tcPr>
            <w:tcW w:w="1579"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4.930</w:t>
            </w:r>
          </w:p>
        </w:tc>
        <w:tc>
          <w:tcPr>
            <w:tcW w:w="1581"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0.02g</w:t>
            </w:r>
          </w:p>
        </w:tc>
        <w:tc>
          <w:tcPr>
            <w:tcW w:w="1577"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0.000158</w:t>
            </w:r>
          </w:p>
        </w:tc>
      </w:tr>
      <w:tr w:rsidR="00AB447D" w:rsidRPr="001D5ADE" w:rsidTr="00B92944">
        <w:tc>
          <w:tcPr>
            <w:tcW w:w="1670" w:type="dxa"/>
            <w:tcBorders>
              <w:top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Bromobenzene</w:t>
            </w:r>
          </w:p>
        </w:tc>
        <w:tc>
          <w:tcPr>
            <w:tcW w:w="1578"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157.02</w:t>
            </w:r>
          </w:p>
        </w:tc>
        <w:tc>
          <w:tcPr>
            <w:tcW w:w="1579"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1.491</w:t>
            </w:r>
          </w:p>
        </w:tc>
        <w:tc>
          <w:tcPr>
            <w:tcW w:w="1581"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3ml</w:t>
            </w:r>
          </w:p>
        </w:tc>
        <w:tc>
          <w:tcPr>
            <w:tcW w:w="1577" w:type="dxa"/>
            <w:tcBorders>
              <w:top w:val="nil"/>
              <w:left w:val="nil"/>
              <w:bottom w:val="nil"/>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0.028</w:t>
            </w:r>
          </w:p>
        </w:tc>
      </w:tr>
      <w:tr w:rsidR="00AB447D" w:rsidRPr="001D5ADE" w:rsidTr="00B92944">
        <w:tc>
          <w:tcPr>
            <w:tcW w:w="1670" w:type="dxa"/>
            <w:tcBorders>
              <w:top w:val="nil"/>
              <w:bottom w:val="single" w:sz="4" w:space="0" w:color="auto"/>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Diethyl Ether</w:t>
            </w:r>
          </w:p>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Anhydrous</w:t>
            </w:r>
          </w:p>
        </w:tc>
        <w:tc>
          <w:tcPr>
            <w:tcW w:w="1578" w:type="dxa"/>
            <w:tcBorders>
              <w:top w:val="nil"/>
              <w:left w:val="nil"/>
              <w:bottom w:val="single" w:sz="4" w:space="0" w:color="auto"/>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74.12</w:t>
            </w:r>
          </w:p>
        </w:tc>
        <w:tc>
          <w:tcPr>
            <w:tcW w:w="1579" w:type="dxa"/>
            <w:tcBorders>
              <w:top w:val="nil"/>
              <w:left w:val="nil"/>
              <w:bottom w:val="single" w:sz="4" w:space="0" w:color="auto"/>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0.706</w:t>
            </w:r>
          </w:p>
        </w:tc>
        <w:tc>
          <w:tcPr>
            <w:tcW w:w="1581" w:type="dxa"/>
            <w:tcBorders>
              <w:top w:val="nil"/>
              <w:left w:val="nil"/>
              <w:bottom w:val="single" w:sz="4" w:space="0" w:color="auto"/>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20ml</w:t>
            </w:r>
          </w:p>
        </w:tc>
        <w:tc>
          <w:tcPr>
            <w:tcW w:w="1577" w:type="dxa"/>
            <w:tcBorders>
              <w:top w:val="nil"/>
              <w:left w:val="nil"/>
              <w:bottom w:val="single" w:sz="4" w:space="0" w:color="auto"/>
              <w:right w:val="nil"/>
            </w:tcBorders>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0.18</w:t>
            </w:r>
          </w:p>
        </w:tc>
      </w:tr>
    </w:tbl>
    <w:p w:rsidR="00AB447D" w:rsidRPr="001D5ADE" w:rsidRDefault="00AB447D" w:rsidP="009160F2">
      <w:pPr>
        <w:pStyle w:val="NoSpacing"/>
        <w:spacing w:line="36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Initial Appearance of the Reaction Mixture</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Appearance of the Heated Reaction Mixture</w:t>
            </w:r>
          </w:p>
        </w:tc>
      </w:tr>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A  light brown/bronze colour liquid</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Brown with a layer of bubbles on top</w:t>
            </w:r>
          </w:p>
        </w:tc>
      </w:tr>
    </w:tbl>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9160F2">
      <w:pPr>
        <w:pStyle w:val="NoSpacing"/>
        <w:spacing w:line="360" w:lineRule="auto"/>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Time that the Reaction Mixture was Heated Without any Addition Aid (min)</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Time that the Reaction Mixture was Heated with the Aid of a Hot Water Bath (min)</w:t>
            </w:r>
          </w:p>
        </w:tc>
      </w:tr>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25</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20</w:t>
            </w:r>
          </w:p>
        </w:tc>
      </w:tr>
    </w:tbl>
    <w:p w:rsidR="00AB447D" w:rsidRPr="001D5ADE" w:rsidRDefault="00AB447D" w:rsidP="009160F2">
      <w:pPr>
        <w:pStyle w:val="NoSpacing"/>
        <w:spacing w:line="360" w:lineRule="auto"/>
        <w:rPr>
          <w:rFonts w:ascii="Times New Roman" w:hAnsi="Times New Roman"/>
          <w:sz w:val="24"/>
          <w:szCs w:val="24"/>
        </w:rPr>
      </w:pPr>
    </w:p>
    <w:p w:rsidR="00AB447D" w:rsidRPr="001D5ADE" w:rsidRDefault="00AB447D" w:rsidP="00897067">
      <w:pPr>
        <w:pStyle w:val="NoSpacing"/>
        <w:spacing w:line="360" w:lineRule="auto"/>
        <w:jc w:val="center"/>
        <w:rPr>
          <w:rFonts w:ascii="Times New Roman" w:hAnsi="Times New Roman"/>
          <w:sz w:val="24"/>
          <w:szCs w:val="24"/>
        </w:rPr>
      </w:pPr>
      <w:r w:rsidRPr="001D5ADE">
        <w:rPr>
          <w:rFonts w:ascii="Times New Roman" w:hAnsi="Times New Roman"/>
          <w:b/>
          <w:sz w:val="24"/>
          <w:szCs w:val="24"/>
        </w:rPr>
        <w:t>Reaction of the Grignard with Carbon Dioxide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576"/>
      </w:tblGrid>
      <w:tr w:rsidR="00AB447D" w:rsidRPr="001D5ADE" w:rsidTr="00310B21">
        <w:tc>
          <w:tcPr>
            <w:tcW w:w="9576"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Appearance of the Reaction Mixture During the Addition of the Grignard Reagent to CO</w:t>
            </w:r>
            <w:r w:rsidRPr="001D5ADE">
              <w:rPr>
                <w:rFonts w:ascii="Times New Roman" w:hAnsi="Times New Roman"/>
                <w:sz w:val="24"/>
                <w:szCs w:val="24"/>
                <w:vertAlign w:val="subscript"/>
              </w:rPr>
              <w:t>2</w:t>
            </w:r>
          </w:p>
        </w:tc>
      </w:tr>
      <w:tr w:rsidR="00AB447D" w:rsidRPr="001D5ADE" w:rsidTr="00310B21">
        <w:tc>
          <w:tcPr>
            <w:tcW w:w="9576" w:type="dxa"/>
          </w:tcPr>
          <w:p w:rsidR="00AB447D" w:rsidRPr="001D5ADE" w:rsidRDefault="00AB447D" w:rsidP="00310B21">
            <w:pPr>
              <w:pStyle w:val="NoSpacing"/>
              <w:numPr>
                <w:ilvl w:val="0"/>
                <w:numId w:val="1"/>
              </w:numPr>
              <w:spacing w:line="360" w:lineRule="auto"/>
              <w:rPr>
                <w:rFonts w:ascii="Times New Roman" w:hAnsi="Times New Roman"/>
                <w:sz w:val="24"/>
                <w:szCs w:val="24"/>
              </w:rPr>
            </w:pPr>
            <w:r w:rsidRPr="001D5ADE">
              <w:rPr>
                <w:rFonts w:ascii="Times New Roman" w:hAnsi="Times New Roman"/>
                <w:sz w:val="24"/>
                <w:szCs w:val="24"/>
              </w:rPr>
              <w:t>Liquid began the bubble and made a fizzing sound</w:t>
            </w:r>
          </w:p>
          <w:p w:rsidR="00AB447D" w:rsidRPr="001D5ADE" w:rsidRDefault="00AB447D" w:rsidP="00310B21">
            <w:pPr>
              <w:pStyle w:val="NoSpacing"/>
              <w:numPr>
                <w:ilvl w:val="0"/>
                <w:numId w:val="1"/>
              </w:numPr>
              <w:spacing w:line="360" w:lineRule="auto"/>
              <w:rPr>
                <w:rFonts w:ascii="Times New Roman" w:hAnsi="Times New Roman"/>
                <w:sz w:val="24"/>
                <w:szCs w:val="24"/>
              </w:rPr>
            </w:pPr>
            <w:r w:rsidRPr="001D5ADE">
              <w:rPr>
                <w:rFonts w:ascii="Times New Roman" w:hAnsi="Times New Roman"/>
                <w:sz w:val="24"/>
                <w:szCs w:val="24"/>
              </w:rPr>
              <w:t>Dry ice sublimated</w:t>
            </w:r>
          </w:p>
        </w:tc>
      </w:tr>
    </w:tbl>
    <w:p w:rsidR="00AB447D" w:rsidRPr="001D5ADE" w:rsidRDefault="00AB447D" w:rsidP="00897067">
      <w:pPr>
        <w:pStyle w:val="NoSpacing"/>
        <w:spacing w:line="360" w:lineRule="auto"/>
        <w:rPr>
          <w:rFonts w:ascii="Times New Roman" w:hAnsi="Times New Roman"/>
          <w:sz w:val="24"/>
          <w:szCs w:val="24"/>
        </w:rPr>
      </w:pPr>
    </w:p>
    <w:p w:rsidR="00AB447D" w:rsidRPr="001D5ADE" w:rsidRDefault="00AB447D" w:rsidP="00897067">
      <w:pPr>
        <w:pStyle w:val="NoSpacing"/>
        <w:spacing w:line="360" w:lineRule="auto"/>
        <w:jc w:val="center"/>
        <w:rPr>
          <w:rFonts w:ascii="Times New Roman" w:hAnsi="Times New Roman"/>
          <w:b/>
          <w:sz w:val="24"/>
          <w:szCs w:val="24"/>
        </w:rPr>
      </w:pPr>
    </w:p>
    <w:p w:rsidR="00AB447D" w:rsidRPr="001D5ADE" w:rsidRDefault="00AB447D" w:rsidP="00897067">
      <w:pPr>
        <w:pStyle w:val="NoSpacing"/>
        <w:spacing w:line="360" w:lineRule="auto"/>
        <w:jc w:val="center"/>
        <w:rPr>
          <w:rFonts w:ascii="Times New Roman" w:hAnsi="Times New Roman"/>
          <w:sz w:val="24"/>
          <w:szCs w:val="24"/>
        </w:rPr>
      </w:pPr>
      <w:r w:rsidRPr="001D5ADE">
        <w:rPr>
          <w:rFonts w:ascii="Times New Roman" w:hAnsi="Times New Roman"/>
          <w:b/>
          <w:sz w:val="24"/>
          <w:szCs w:val="24"/>
        </w:rPr>
        <w:t>Isolation of the Benzoic Acid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92"/>
        <w:gridCol w:w="3192"/>
        <w:gridCol w:w="3192"/>
      </w:tblGrid>
      <w:tr w:rsidR="00AB447D" w:rsidRPr="001D5ADE" w:rsidTr="00310B21">
        <w:tc>
          <w:tcPr>
            <w:tcW w:w="3192" w:type="dxa"/>
          </w:tcPr>
          <w:p w:rsidR="00AB447D" w:rsidRPr="001D5ADE" w:rsidRDefault="00AB447D" w:rsidP="00310B21">
            <w:pPr>
              <w:pStyle w:val="NoSpacing"/>
              <w:jc w:val="center"/>
              <w:rPr>
                <w:rFonts w:ascii="Times New Roman" w:hAnsi="Times New Roman"/>
                <w:sz w:val="24"/>
                <w:szCs w:val="24"/>
              </w:rPr>
            </w:pPr>
            <w:r w:rsidRPr="001D5ADE">
              <w:rPr>
                <w:rFonts w:ascii="Times New Roman" w:hAnsi="Times New Roman"/>
                <w:sz w:val="24"/>
                <w:szCs w:val="24"/>
              </w:rPr>
              <w:t>Appearance of the Separatory Funnel During the HCl/Ether Extraction</w:t>
            </w:r>
          </w:p>
        </w:tc>
        <w:tc>
          <w:tcPr>
            <w:tcW w:w="3192" w:type="dxa"/>
          </w:tcPr>
          <w:p w:rsidR="00AB447D" w:rsidRPr="001D5ADE" w:rsidRDefault="00AB447D" w:rsidP="00310B21">
            <w:pPr>
              <w:pStyle w:val="NoSpacing"/>
              <w:jc w:val="center"/>
              <w:rPr>
                <w:rFonts w:ascii="Times New Roman" w:hAnsi="Times New Roman"/>
                <w:sz w:val="24"/>
                <w:szCs w:val="24"/>
              </w:rPr>
            </w:pPr>
            <w:r w:rsidRPr="001D5ADE">
              <w:rPr>
                <w:rFonts w:ascii="Times New Roman" w:hAnsi="Times New Roman"/>
                <w:sz w:val="24"/>
                <w:szCs w:val="24"/>
              </w:rPr>
              <w:t>Appearance of the Separatory Funnel During the NaOH/Ether Extraction</w:t>
            </w:r>
          </w:p>
        </w:tc>
        <w:tc>
          <w:tcPr>
            <w:tcW w:w="3192" w:type="dxa"/>
          </w:tcPr>
          <w:p w:rsidR="00AB447D" w:rsidRPr="001D5ADE" w:rsidRDefault="00AB447D" w:rsidP="00310B21">
            <w:pPr>
              <w:pStyle w:val="NoSpacing"/>
              <w:jc w:val="center"/>
              <w:rPr>
                <w:rFonts w:ascii="Times New Roman" w:hAnsi="Times New Roman"/>
                <w:sz w:val="24"/>
                <w:szCs w:val="24"/>
              </w:rPr>
            </w:pPr>
            <w:r w:rsidRPr="001D5ADE">
              <w:rPr>
                <w:rFonts w:ascii="Times New Roman" w:hAnsi="Times New Roman"/>
                <w:sz w:val="24"/>
                <w:szCs w:val="24"/>
              </w:rPr>
              <w:t>Appearance of HCl induced prepcipate</w:t>
            </w:r>
          </w:p>
        </w:tc>
      </w:tr>
      <w:tr w:rsidR="00AB447D" w:rsidRPr="001D5ADE" w:rsidTr="00310B21">
        <w:tc>
          <w:tcPr>
            <w:tcW w:w="3192" w:type="dxa"/>
          </w:tcPr>
          <w:p w:rsidR="00AB447D" w:rsidRPr="001D5ADE" w:rsidRDefault="00AB447D" w:rsidP="00310B21">
            <w:pPr>
              <w:pStyle w:val="NoSpacing"/>
              <w:numPr>
                <w:ilvl w:val="0"/>
                <w:numId w:val="1"/>
              </w:numPr>
              <w:rPr>
                <w:rFonts w:ascii="Times New Roman" w:hAnsi="Times New Roman"/>
                <w:sz w:val="24"/>
                <w:szCs w:val="24"/>
              </w:rPr>
            </w:pPr>
            <w:r w:rsidRPr="001D5ADE">
              <w:rPr>
                <w:rFonts w:ascii="Times New Roman" w:hAnsi="Times New Roman"/>
                <w:sz w:val="24"/>
                <w:szCs w:val="24"/>
              </w:rPr>
              <w:t>2 layers with a yellow phase on top &amp; clear at the bottom</w:t>
            </w:r>
          </w:p>
          <w:p w:rsidR="00AB447D" w:rsidRPr="001D5ADE" w:rsidRDefault="00AB447D" w:rsidP="00310B21">
            <w:pPr>
              <w:pStyle w:val="NoSpacing"/>
              <w:numPr>
                <w:ilvl w:val="0"/>
                <w:numId w:val="1"/>
              </w:numPr>
              <w:rPr>
                <w:rFonts w:ascii="Times New Roman" w:hAnsi="Times New Roman"/>
                <w:sz w:val="24"/>
                <w:szCs w:val="24"/>
              </w:rPr>
            </w:pPr>
            <w:r w:rsidRPr="001D5ADE">
              <w:rPr>
                <w:rFonts w:ascii="Times New Roman" w:hAnsi="Times New Roman"/>
                <w:sz w:val="24"/>
                <w:szCs w:val="24"/>
              </w:rPr>
              <w:t>Pale yellow</w:t>
            </w:r>
          </w:p>
        </w:tc>
        <w:tc>
          <w:tcPr>
            <w:tcW w:w="3192" w:type="dxa"/>
          </w:tcPr>
          <w:p w:rsidR="00AB447D" w:rsidRPr="001D5ADE" w:rsidRDefault="00AB447D" w:rsidP="00310B21">
            <w:pPr>
              <w:pStyle w:val="NoSpacing"/>
              <w:numPr>
                <w:ilvl w:val="0"/>
                <w:numId w:val="1"/>
              </w:numPr>
              <w:rPr>
                <w:rFonts w:ascii="Times New Roman" w:hAnsi="Times New Roman"/>
                <w:sz w:val="24"/>
                <w:szCs w:val="24"/>
              </w:rPr>
            </w:pPr>
            <w:r w:rsidRPr="001D5ADE">
              <w:rPr>
                <w:rFonts w:ascii="Times New Roman" w:hAnsi="Times New Roman"/>
                <w:sz w:val="24"/>
                <w:szCs w:val="24"/>
              </w:rPr>
              <w:t>2 layers both with yellow (pale) colour</w:t>
            </w:r>
          </w:p>
          <w:p w:rsidR="00AB447D" w:rsidRPr="001D5ADE" w:rsidRDefault="00AB447D" w:rsidP="00310B21">
            <w:pPr>
              <w:pStyle w:val="NoSpacing"/>
              <w:numPr>
                <w:ilvl w:val="0"/>
                <w:numId w:val="1"/>
              </w:numPr>
              <w:rPr>
                <w:rFonts w:ascii="Times New Roman" w:hAnsi="Times New Roman"/>
                <w:sz w:val="24"/>
                <w:szCs w:val="24"/>
              </w:rPr>
            </w:pPr>
            <w:r w:rsidRPr="001D5ADE">
              <w:rPr>
                <w:rFonts w:ascii="Times New Roman" w:hAnsi="Times New Roman"/>
                <w:sz w:val="24"/>
                <w:szCs w:val="24"/>
              </w:rPr>
              <w:t>Yellow debris found at the border separating the 2 phases</w:t>
            </w:r>
          </w:p>
        </w:tc>
        <w:tc>
          <w:tcPr>
            <w:tcW w:w="3192" w:type="dxa"/>
          </w:tcPr>
          <w:p w:rsidR="00AB447D" w:rsidRPr="001D5ADE" w:rsidRDefault="00AB447D" w:rsidP="00310B21">
            <w:pPr>
              <w:pStyle w:val="NoSpacing"/>
              <w:numPr>
                <w:ilvl w:val="0"/>
                <w:numId w:val="1"/>
              </w:numPr>
              <w:rPr>
                <w:rFonts w:ascii="Times New Roman" w:hAnsi="Times New Roman"/>
                <w:sz w:val="24"/>
                <w:szCs w:val="24"/>
              </w:rPr>
            </w:pPr>
            <w:r w:rsidRPr="001D5ADE">
              <w:rPr>
                <w:rFonts w:ascii="Times New Roman" w:hAnsi="Times New Roman"/>
                <w:sz w:val="24"/>
                <w:szCs w:val="24"/>
              </w:rPr>
              <w:t>Very faint yellow somewhat cloudy</w:t>
            </w:r>
          </w:p>
        </w:tc>
      </w:tr>
    </w:tbl>
    <w:p w:rsidR="00AB447D" w:rsidRPr="001D5ADE" w:rsidRDefault="00AB447D" w:rsidP="00897067">
      <w:pPr>
        <w:pStyle w:val="NoSpacing"/>
        <w:spacing w:line="360" w:lineRule="auto"/>
        <w:jc w:val="center"/>
        <w:rPr>
          <w:rFonts w:ascii="Times New Roman" w:hAnsi="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788"/>
        <w:gridCol w:w="4788"/>
      </w:tblGrid>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Isolated Benzoic Acid</w:t>
            </w:r>
          </w:p>
        </w:tc>
      </w:tr>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Weight of Veil (g)</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rPr>
              <w:t>45.88</w:t>
            </w:r>
          </w:p>
        </w:tc>
      </w:tr>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Weight of Veil + Product (g)</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rPr>
              <w:t>46.81</w:t>
            </w:r>
          </w:p>
        </w:tc>
      </w:tr>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Weight of Product (g)</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rPr>
              <w:t>0.93</w:t>
            </w:r>
          </w:p>
        </w:tc>
      </w:tr>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Melting Point Range (</w:t>
            </w:r>
            <w:r w:rsidRPr="001D5ADE">
              <w:rPr>
                <w:rFonts w:ascii="Times New Roman" w:hAnsi="Times New Roman"/>
                <w:sz w:val="24"/>
                <w:szCs w:val="24"/>
                <w:vertAlign w:val="superscript"/>
              </w:rPr>
              <w:t>o</w:t>
            </w:r>
            <w:r w:rsidRPr="001D5ADE">
              <w:rPr>
                <w:rFonts w:ascii="Times New Roman" w:hAnsi="Times New Roman"/>
                <w:sz w:val="24"/>
                <w:szCs w:val="24"/>
              </w:rPr>
              <w:t>C)</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rPr>
              <w:t>106º-112º</w:t>
            </w:r>
          </w:p>
        </w:tc>
      </w:tr>
      <w:tr w:rsidR="00AB447D" w:rsidRPr="001D5ADE" w:rsidTr="00310B21">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Appearance of the Dried Product</w:t>
            </w:r>
          </w:p>
        </w:tc>
        <w:tc>
          <w:tcPr>
            <w:tcW w:w="4788" w:type="dxa"/>
          </w:tcPr>
          <w:p w:rsidR="00AB447D" w:rsidRPr="001D5ADE" w:rsidRDefault="00AB447D" w:rsidP="00310B21">
            <w:pPr>
              <w:pStyle w:val="NoSpacing"/>
              <w:spacing w:line="360" w:lineRule="auto"/>
              <w:jc w:val="center"/>
              <w:rPr>
                <w:rFonts w:ascii="Times New Roman" w:hAnsi="Times New Roman"/>
                <w:sz w:val="24"/>
                <w:szCs w:val="24"/>
              </w:rPr>
            </w:pPr>
            <w:r w:rsidRPr="001D5ADE">
              <w:rPr>
                <w:rFonts w:ascii="Times New Roman" w:hAnsi="Times New Roman"/>
                <w:sz w:val="24"/>
                <w:szCs w:val="24"/>
              </w:rPr>
              <w:t>White powder</w:t>
            </w:r>
          </w:p>
        </w:tc>
      </w:tr>
    </w:tbl>
    <w:p w:rsidR="00AB447D" w:rsidRDefault="00AB447D" w:rsidP="007E6E4D">
      <w:pPr>
        <w:pStyle w:val="NoSpacing"/>
        <w:spacing w:line="360" w:lineRule="auto"/>
        <w:rPr>
          <w:rFonts w:ascii="Times New Roman" w:hAnsi="Times New Roman"/>
          <w:sz w:val="24"/>
          <w:szCs w:val="24"/>
        </w:rPr>
      </w:pPr>
    </w:p>
    <w:p w:rsidR="00AB447D" w:rsidRDefault="00AB447D" w:rsidP="007E6E4D">
      <w:pPr>
        <w:pStyle w:val="NoSpacing"/>
        <w:spacing w:line="360" w:lineRule="auto"/>
        <w:rPr>
          <w:rFonts w:ascii="Times New Roman" w:hAnsi="Times New Roman"/>
          <w:sz w:val="24"/>
          <w:szCs w:val="24"/>
        </w:rPr>
      </w:pPr>
      <w:r>
        <w:rPr>
          <w:rFonts w:ascii="Times New Roman" w:hAnsi="Times New Roman"/>
          <w:b/>
          <w:sz w:val="24"/>
          <w:szCs w:val="24"/>
        </w:rPr>
        <w:t>Discussion</w:t>
      </w:r>
    </w:p>
    <w:p w:rsidR="00AB447D" w:rsidRDefault="00AB447D" w:rsidP="00123638">
      <w:pPr>
        <w:pStyle w:val="NoSpacing"/>
        <w:spacing w:line="360" w:lineRule="auto"/>
        <w:rPr>
          <w:rFonts w:ascii="Times New Roman" w:hAnsi="Times New Roman"/>
          <w:sz w:val="24"/>
          <w:szCs w:val="24"/>
        </w:rPr>
      </w:pPr>
      <w:r>
        <w:rPr>
          <w:rFonts w:ascii="Times New Roman" w:hAnsi="Times New Roman"/>
          <w:sz w:val="24"/>
          <w:szCs w:val="24"/>
        </w:rPr>
        <w:t xml:space="preserve">In this experiment, we prepared the Grignard reagent phenylmagnesium bromide: </w:t>
      </w:r>
      <w:r>
        <w:rPr>
          <w:noProof/>
          <w:lang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ttp://www.miracosta.edu/home/dlr/images/2110301.gif" style="width:335.25pt;height:48pt;visibility:visible">
            <v:imagedata r:id="rId5" o:title=""/>
          </v:shape>
        </w:pict>
      </w:r>
    </w:p>
    <w:p w:rsidR="00AB447D" w:rsidRDefault="00AB447D" w:rsidP="00123638">
      <w:pPr>
        <w:pStyle w:val="NoSpacing"/>
        <w:spacing w:line="360" w:lineRule="auto"/>
        <w:rPr>
          <w:rFonts w:ascii="Times New Roman" w:hAnsi="Times New Roman"/>
          <w:sz w:val="24"/>
          <w:szCs w:val="24"/>
        </w:rPr>
      </w:pPr>
      <w:r>
        <w:rPr>
          <w:rFonts w:ascii="Times New Roman" w:hAnsi="Times New Roman"/>
          <w:sz w:val="24"/>
          <w:szCs w:val="24"/>
        </w:rPr>
        <w:t xml:space="preserve">The phenylmagnesium bromide was then used to produce benzoic acid when reacted with carbon dioxide (dry ice). The organic portion of the Grignard reagent functions as a carbanion nucleophile. </w:t>
      </w:r>
    </w:p>
    <w:p w:rsidR="00AB447D" w:rsidRDefault="00AB447D" w:rsidP="00123638">
      <w:pPr>
        <w:pStyle w:val="NoSpacing"/>
        <w:spacing w:line="360" w:lineRule="auto"/>
        <w:rPr>
          <w:rFonts w:ascii="Times New Roman" w:hAnsi="Times New Roman"/>
          <w:sz w:val="24"/>
          <w:szCs w:val="24"/>
        </w:rPr>
      </w:pPr>
      <w:r>
        <w:rPr>
          <w:rFonts w:ascii="Times New Roman" w:hAnsi="Times New Roman"/>
          <w:sz w:val="24"/>
          <w:szCs w:val="24"/>
        </w:rPr>
        <w:tab/>
        <w:t>During this experiment the reflux apparatus and reagents had to be completely dry because water functions as an acid, and would cleave the Grignard reagent producing benzene. The glassware was thoroughly clean and dry. Once the glassware was washed, it was placed into the oven to remove any remaining water.</w:t>
      </w:r>
    </w:p>
    <w:p w:rsidR="00AB447D" w:rsidRDefault="00AB447D" w:rsidP="00123638">
      <w:pPr>
        <w:pStyle w:val="NoSpacing"/>
        <w:spacing w:line="360" w:lineRule="auto"/>
        <w:rPr>
          <w:rFonts w:ascii="Times New Roman" w:hAnsi="Times New Roman"/>
          <w:sz w:val="24"/>
          <w:szCs w:val="24"/>
        </w:rPr>
      </w:pPr>
      <w:r>
        <w:rPr>
          <w:rFonts w:ascii="Times New Roman" w:hAnsi="Times New Roman"/>
          <w:sz w:val="24"/>
          <w:szCs w:val="24"/>
        </w:rPr>
        <w:tab/>
        <w:t xml:space="preserve">About half way through the experiment, our reagent was contaminated with water. Our reagent had began to boil on it own and started to subside. Therefore, we placed a hot water bath to continue to reflux for another 20-30 minutes. Once the reaction had completed, we were required to react the solution of phenylmagnesium bromide in diethyl ether with carbon dioxide (dry ice). </w:t>
      </w:r>
    </w:p>
    <w:p w:rsidR="00AB447D" w:rsidRDefault="00AB447D" w:rsidP="00123638">
      <w:pPr>
        <w:pStyle w:val="NoSpacing"/>
        <w:spacing w:line="360" w:lineRule="auto"/>
        <w:rPr>
          <w:rFonts w:ascii="Times New Roman" w:hAnsi="Times New Roman"/>
          <w:sz w:val="24"/>
          <w:szCs w:val="24"/>
        </w:rPr>
      </w:pPr>
      <w:r>
        <w:rPr>
          <w:rFonts w:ascii="Times New Roman" w:hAnsi="Times New Roman"/>
          <w:sz w:val="24"/>
          <w:szCs w:val="24"/>
        </w:rPr>
        <w:tab/>
        <w:t xml:space="preserve">The isolation of the benzoic acid (workup) part of the experiment is extremely important and must be performed with great care. It requires making the </w:t>
      </w:r>
      <w:r w:rsidRPr="00EA7BFB">
        <w:rPr>
          <w:rFonts w:ascii="Times New Roman" w:hAnsi="Times New Roman"/>
          <w:sz w:val="24"/>
          <w:szCs w:val="24"/>
        </w:rPr>
        <w:t>phenylmagnesium bromide in diethyl ether</w:t>
      </w:r>
      <w:r>
        <w:rPr>
          <w:rFonts w:ascii="Times New Roman" w:hAnsi="Times New Roman"/>
          <w:sz w:val="24"/>
          <w:szCs w:val="24"/>
        </w:rPr>
        <w:t xml:space="preserve"> solution acidic, extracting several times, cooling the mixture, and collecting a solid product by suction filtration. The workup/purification phase can be explained more easily by the following flow chart:</w:t>
      </w: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1. 5 mL of concentrated HCl is added to protonate benzoate so that it</w:t>
      </w:r>
      <w:r>
        <w:rPr>
          <w:rFonts w:ascii="Times New Roman" w:hAnsi="Times New Roman"/>
          <w:bCs/>
          <w:sz w:val="24"/>
          <w:szCs w:val="24"/>
          <w:lang w:val="en-US"/>
        </w:rPr>
        <w:t xml:space="preserve"> is soluble in organic phase.  The d</w:t>
      </w:r>
      <w:r w:rsidRPr="00E45E40">
        <w:rPr>
          <w:rFonts w:ascii="Times New Roman" w:hAnsi="Times New Roman"/>
          <w:bCs/>
          <w:sz w:val="24"/>
          <w:szCs w:val="24"/>
          <w:lang w:val="en-US"/>
        </w:rPr>
        <w:t>iethyl ether acts as a medium for the benzoic acid to dis</w:t>
      </w:r>
      <w:r>
        <w:rPr>
          <w:rFonts w:ascii="Times New Roman" w:hAnsi="Times New Roman"/>
          <w:bCs/>
          <w:sz w:val="24"/>
          <w:szCs w:val="24"/>
          <w:lang w:val="en-US"/>
        </w:rPr>
        <w:t>solve and the w</w:t>
      </w:r>
      <w:r w:rsidRPr="00E45E40">
        <w:rPr>
          <w:rFonts w:ascii="Times New Roman" w:hAnsi="Times New Roman"/>
          <w:bCs/>
          <w:sz w:val="24"/>
          <w:szCs w:val="24"/>
          <w:lang w:val="en-US"/>
        </w:rPr>
        <w:t xml:space="preserve">ater </w:t>
      </w:r>
      <w:r>
        <w:rPr>
          <w:rFonts w:ascii="Times New Roman" w:hAnsi="Times New Roman"/>
          <w:bCs/>
          <w:sz w:val="24"/>
          <w:szCs w:val="24"/>
          <w:lang w:val="en-US"/>
        </w:rPr>
        <w:t xml:space="preserve">acts as a medium </w:t>
      </w:r>
      <w:r w:rsidRPr="00E45E40">
        <w:rPr>
          <w:rFonts w:ascii="Times New Roman" w:hAnsi="Times New Roman"/>
          <w:bCs/>
          <w:sz w:val="24"/>
          <w:szCs w:val="24"/>
          <w:lang w:val="en-US"/>
        </w:rPr>
        <w:t>for HCl to dissolve in.</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2. Same process is repeated except only with the diethyl ether to extract as much benzoic acid as possible.</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3. Organic phases are combined.</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4. Aqueous phase is discarded and includes MgBr</w:t>
      </w:r>
      <w:r w:rsidRPr="00E45E40">
        <w:rPr>
          <w:rFonts w:ascii="Times New Roman" w:hAnsi="Times New Roman"/>
          <w:bCs/>
          <w:sz w:val="24"/>
          <w:szCs w:val="24"/>
          <w:vertAlign w:val="subscript"/>
          <w:lang w:val="en-US"/>
        </w:rPr>
        <w:t>2</w:t>
      </w:r>
      <w:r w:rsidRPr="00E45E40">
        <w:rPr>
          <w:rFonts w:ascii="Times New Roman" w:hAnsi="Times New Roman"/>
          <w:bCs/>
          <w:sz w:val="24"/>
          <w:szCs w:val="24"/>
          <w:lang w:val="en-US"/>
        </w:rPr>
        <w:t>, HCl, CO</w:t>
      </w:r>
      <w:r w:rsidRPr="00E45E40">
        <w:rPr>
          <w:rFonts w:ascii="Times New Roman" w:hAnsi="Times New Roman"/>
          <w:bCs/>
          <w:sz w:val="24"/>
          <w:szCs w:val="24"/>
          <w:vertAlign w:val="subscript"/>
          <w:lang w:val="en-US"/>
        </w:rPr>
        <w:t>2</w:t>
      </w:r>
      <w:r w:rsidRPr="00E45E40">
        <w:rPr>
          <w:rFonts w:ascii="Times New Roman" w:hAnsi="Times New Roman"/>
          <w:bCs/>
          <w:sz w:val="24"/>
          <w:szCs w:val="24"/>
          <w:lang w:val="en-US"/>
        </w:rPr>
        <w:t>,</w:t>
      </w:r>
      <w:r>
        <w:rPr>
          <w:rFonts w:ascii="Times New Roman" w:hAnsi="Times New Roman"/>
          <w:bCs/>
          <w:sz w:val="24"/>
          <w:szCs w:val="24"/>
          <w:lang w:val="en-US"/>
        </w:rPr>
        <w:t xml:space="preserve"> </w:t>
      </w:r>
      <w:r w:rsidRPr="00E45E40">
        <w:rPr>
          <w:rFonts w:ascii="Times New Roman" w:hAnsi="Times New Roman"/>
          <w:bCs/>
          <w:sz w:val="24"/>
          <w:szCs w:val="24"/>
          <w:lang w:val="en-US"/>
        </w:rPr>
        <w:t>H</w:t>
      </w:r>
      <w:r w:rsidRPr="00E45E40">
        <w:rPr>
          <w:rFonts w:ascii="Times New Roman" w:hAnsi="Times New Roman"/>
          <w:bCs/>
          <w:sz w:val="24"/>
          <w:szCs w:val="24"/>
          <w:vertAlign w:val="subscript"/>
          <w:lang w:val="en-US"/>
        </w:rPr>
        <w:t>2</w:t>
      </w:r>
      <w:r w:rsidRPr="00E45E40">
        <w:rPr>
          <w:rFonts w:ascii="Times New Roman" w:hAnsi="Times New Roman"/>
          <w:bCs/>
          <w:sz w:val="24"/>
          <w:szCs w:val="24"/>
          <w:lang w:val="en-US"/>
        </w:rPr>
        <w:t>O</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5.</w:t>
      </w:r>
      <w:r>
        <w:rPr>
          <w:rFonts w:ascii="Times New Roman" w:hAnsi="Times New Roman"/>
          <w:bCs/>
          <w:sz w:val="24"/>
          <w:szCs w:val="24"/>
          <w:lang w:val="en-US"/>
        </w:rPr>
        <w:t xml:space="preserve"> Organic phase is mixed with 20mL</w:t>
      </w:r>
      <w:r w:rsidRPr="00E45E40">
        <w:rPr>
          <w:rFonts w:ascii="Times New Roman" w:hAnsi="Times New Roman"/>
          <w:bCs/>
          <w:sz w:val="24"/>
          <w:szCs w:val="24"/>
          <w:lang w:val="en-US"/>
        </w:rPr>
        <w:t xml:space="preserve"> of 10% NaOH in order to deprotonate benzoic acid into benzoate and separate the benzoate from the diethyl ether.</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6. Process is repeated twice for yield.</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7. Phases are combined.</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8. The organic phase will have residual benzoic acid but for the most part is diethyl ether and is discarded.</w:t>
      </w:r>
    </w:p>
    <w:p w:rsidR="00AB447D" w:rsidRPr="00E45E40" w:rsidRDefault="00AB447D" w:rsidP="00E45E40">
      <w:pPr>
        <w:pStyle w:val="NoSpacing"/>
        <w:spacing w:line="360" w:lineRule="auto"/>
        <w:rPr>
          <w:rFonts w:ascii="Times New Roman" w:hAnsi="Times New Roman"/>
          <w:sz w:val="24"/>
          <w:szCs w:val="24"/>
          <w:lang w:val="en-US"/>
        </w:rPr>
      </w:pPr>
      <w:r w:rsidRPr="00E45E40">
        <w:rPr>
          <w:rFonts w:ascii="Times New Roman" w:hAnsi="Times New Roman"/>
          <w:bCs/>
          <w:sz w:val="24"/>
          <w:szCs w:val="24"/>
          <w:lang w:val="en-US"/>
        </w:rPr>
        <w:t>9. HCl is added until the benzoic acid is formed and precipitates</w:t>
      </w:r>
      <w:r>
        <w:rPr>
          <w:rFonts w:ascii="Times New Roman" w:hAnsi="Times New Roman"/>
          <w:sz w:val="24"/>
          <w:szCs w:val="24"/>
          <w:lang w:val="en-US"/>
        </w:rPr>
        <w:t xml:space="preserve"> </w:t>
      </w:r>
      <w:r>
        <w:rPr>
          <w:rFonts w:ascii="Times New Roman" w:hAnsi="Times New Roman"/>
          <w:bCs/>
          <w:sz w:val="24"/>
          <w:szCs w:val="24"/>
          <w:lang w:val="en-US"/>
        </w:rPr>
        <w:t>continued. I</w:t>
      </w:r>
      <w:r w:rsidRPr="00E45E40">
        <w:rPr>
          <w:rFonts w:ascii="Times New Roman" w:hAnsi="Times New Roman"/>
          <w:bCs/>
          <w:sz w:val="24"/>
          <w:szCs w:val="24"/>
          <w:lang w:val="en-US"/>
        </w:rPr>
        <w:t>t has no medium to be dissolved in and now it has been made non</w:t>
      </w:r>
      <w:r>
        <w:rPr>
          <w:rFonts w:ascii="Times New Roman" w:hAnsi="Times New Roman"/>
          <w:bCs/>
          <w:sz w:val="24"/>
          <w:szCs w:val="24"/>
          <w:lang w:val="en-US"/>
        </w:rPr>
        <w:t>-</w:t>
      </w:r>
      <w:r w:rsidRPr="00E45E40">
        <w:rPr>
          <w:rFonts w:ascii="Times New Roman" w:hAnsi="Times New Roman"/>
          <w:bCs/>
          <w:sz w:val="24"/>
          <w:szCs w:val="24"/>
          <w:lang w:val="en-US"/>
        </w:rPr>
        <w:t>polar.</w:t>
      </w:r>
    </w:p>
    <w:p w:rsidR="00AB447D" w:rsidRPr="00E45E40" w:rsidRDefault="00AB447D" w:rsidP="00E45E40">
      <w:pPr>
        <w:pStyle w:val="NoSpacing"/>
        <w:spacing w:line="360" w:lineRule="auto"/>
        <w:rPr>
          <w:rFonts w:ascii="Times New Roman" w:hAnsi="Times New Roman"/>
          <w:sz w:val="24"/>
          <w:szCs w:val="24"/>
          <w:lang w:val="en-US"/>
        </w:rPr>
      </w:pPr>
      <w:r w:rsidRPr="00E45E40">
        <w:rPr>
          <w:rFonts w:ascii="Times New Roman" w:hAnsi="Times New Roman"/>
          <w:bCs/>
          <w:sz w:val="24"/>
          <w:szCs w:val="24"/>
          <w:lang w:val="en-US"/>
        </w:rPr>
        <w:t>10. This aqueous layer is discarded and contains NaCl and H</w:t>
      </w:r>
      <w:r w:rsidRPr="00E45E40">
        <w:rPr>
          <w:rFonts w:ascii="Times New Roman" w:hAnsi="Times New Roman"/>
          <w:bCs/>
          <w:sz w:val="24"/>
          <w:szCs w:val="24"/>
          <w:vertAlign w:val="subscript"/>
          <w:lang w:val="en-US"/>
        </w:rPr>
        <w:t>2</w:t>
      </w:r>
      <w:r w:rsidRPr="00E45E40">
        <w:rPr>
          <w:rFonts w:ascii="Times New Roman" w:hAnsi="Times New Roman"/>
          <w:bCs/>
          <w:sz w:val="24"/>
          <w:szCs w:val="24"/>
          <w:lang w:val="en-US"/>
        </w:rPr>
        <w:t>O</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11. Organic layer contains wet precipitated benzoic acid.</w:t>
      </w:r>
    </w:p>
    <w:p w:rsidR="00AB447D" w:rsidRPr="00E45E40" w:rsidRDefault="00AB447D" w:rsidP="00E45E40">
      <w:pPr>
        <w:pStyle w:val="NoSpacing"/>
        <w:spacing w:line="360" w:lineRule="auto"/>
        <w:rPr>
          <w:rFonts w:ascii="Times New Roman" w:hAnsi="Times New Roman"/>
          <w:bCs/>
          <w:sz w:val="24"/>
          <w:szCs w:val="24"/>
          <w:lang w:val="en-US"/>
        </w:rPr>
      </w:pPr>
      <w:r w:rsidRPr="00E45E40">
        <w:rPr>
          <w:rFonts w:ascii="Times New Roman" w:hAnsi="Times New Roman"/>
          <w:bCs/>
          <w:sz w:val="24"/>
          <w:szCs w:val="24"/>
          <w:lang w:val="en-US"/>
        </w:rPr>
        <w:t>12. Organic layer is suctioned to remove excess aqueous layer and then dried to remove water.  This obtained product is then placed in the melting apparatus.</w:t>
      </w:r>
    </w:p>
    <w:p w:rsidR="00AB447D" w:rsidRDefault="00AB447D" w:rsidP="00123638">
      <w:pPr>
        <w:pStyle w:val="NoSpacing"/>
        <w:spacing w:line="360" w:lineRule="auto"/>
        <w:rPr>
          <w:rFonts w:ascii="Times New Roman" w:hAnsi="Times New Roman"/>
          <w:sz w:val="24"/>
          <w:szCs w:val="24"/>
        </w:rPr>
      </w:pPr>
    </w:p>
    <w:p w:rsidR="00AB447D" w:rsidRDefault="00AB447D" w:rsidP="00123638">
      <w:pPr>
        <w:pStyle w:val="NoSpacing"/>
        <w:spacing w:line="360" w:lineRule="auto"/>
        <w:rPr>
          <w:rFonts w:ascii="Times New Roman" w:hAnsi="Times New Roman"/>
          <w:sz w:val="24"/>
          <w:szCs w:val="24"/>
        </w:rPr>
      </w:pPr>
      <w:r>
        <w:rPr>
          <w:rFonts w:ascii="Times New Roman" w:hAnsi="Times New Roman"/>
          <w:b/>
          <w:sz w:val="24"/>
          <w:szCs w:val="24"/>
        </w:rPr>
        <w:t>Questions</w:t>
      </w:r>
    </w:p>
    <w:p w:rsidR="00AB447D" w:rsidRPr="002A5DF7" w:rsidRDefault="00AB447D" w:rsidP="002A5DF7">
      <w:pPr>
        <w:pStyle w:val="NoSpacing"/>
        <w:numPr>
          <w:ilvl w:val="0"/>
          <w:numId w:val="5"/>
        </w:numPr>
        <w:spacing w:line="360" w:lineRule="auto"/>
        <w:rPr>
          <w:rFonts w:ascii="Times New Roman" w:hAnsi="Times New Roman"/>
          <w:sz w:val="24"/>
          <w:szCs w:val="24"/>
        </w:rPr>
      </w:pPr>
    </w:p>
    <w:p w:rsidR="00AB447D" w:rsidRDefault="00AB447D" w:rsidP="002A5DF7">
      <w:pPr>
        <w:pStyle w:val="NoSpacing"/>
        <w:spacing w:line="360" w:lineRule="auto"/>
        <w:rPr>
          <w:rFonts w:ascii="Times New Roman" w:hAnsi="Times New Roman"/>
          <w:sz w:val="24"/>
          <w:szCs w:val="24"/>
        </w:rPr>
      </w:pPr>
    </w:p>
    <w:p w:rsidR="00AB447D" w:rsidRDefault="00AB447D" w:rsidP="002A5DF7">
      <w:pPr>
        <w:pStyle w:val="NoSpacing"/>
        <w:spacing w:line="360" w:lineRule="auto"/>
        <w:rPr>
          <w:rFonts w:ascii="Times New Roman" w:hAnsi="Times New Roman"/>
          <w:sz w:val="24"/>
          <w:szCs w:val="24"/>
        </w:rPr>
      </w:pPr>
    </w:p>
    <w:p w:rsidR="00AB447D" w:rsidRDefault="00AB447D" w:rsidP="002A5DF7">
      <w:pPr>
        <w:pStyle w:val="NoSpacing"/>
        <w:spacing w:line="360" w:lineRule="auto"/>
        <w:rPr>
          <w:rFonts w:ascii="Times New Roman" w:hAnsi="Times New Roman"/>
          <w:sz w:val="24"/>
          <w:szCs w:val="24"/>
        </w:rPr>
      </w:pPr>
    </w:p>
    <w:p w:rsidR="00AB447D" w:rsidRDefault="00AB447D" w:rsidP="002A5DF7">
      <w:pPr>
        <w:pStyle w:val="NoSpacing"/>
        <w:spacing w:line="360" w:lineRule="auto"/>
        <w:rPr>
          <w:rFonts w:ascii="Times New Roman" w:hAnsi="Times New Roman"/>
          <w:sz w:val="24"/>
          <w:szCs w:val="24"/>
        </w:rPr>
      </w:pPr>
    </w:p>
    <w:p w:rsidR="00AB447D" w:rsidRDefault="00AB447D" w:rsidP="002A5DF7">
      <w:pPr>
        <w:pStyle w:val="NoSpacing"/>
        <w:spacing w:line="360" w:lineRule="auto"/>
        <w:rPr>
          <w:rFonts w:ascii="Times New Roman" w:hAnsi="Times New Roman"/>
          <w:sz w:val="24"/>
          <w:szCs w:val="24"/>
        </w:rPr>
      </w:pPr>
    </w:p>
    <w:p w:rsidR="00AB447D" w:rsidRDefault="00AB447D" w:rsidP="002A5DF7">
      <w:pPr>
        <w:pStyle w:val="NoSpacing"/>
        <w:spacing w:line="360" w:lineRule="auto"/>
        <w:rPr>
          <w:rFonts w:ascii="Times New Roman" w:hAnsi="Times New Roman"/>
          <w:sz w:val="24"/>
          <w:szCs w:val="24"/>
        </w:rPr>
      </w:pPr>
    </w:p>
    <w:p w:rsidR="00AB447D" w:rsidRDefault="00AB447D" w:rsidP="002A5DF7">
      <w:pPr>
        <w:pStyle w:val="NoSpacing"/>
        <w:spacing w:line="360" w:lineRule="auto"/>
        <w:rPr>
          <w:rFonts w:ascii="Times New Roman" w:hAnsi="Times New Roman"/>
          <w:sz w:val="24"/>
          <w:szCs w:val="24"/>
        </w:rPr>
      </w:pPr>
    </w:p>
    <w:p w:rsidR="00AB447D" w:rsidRDefault="00AB447D" w:rsidP="00CF1DB1">
      <w:pPr>
        <w:pStyle w:val="NoSpacing"/>
        <w:numPr>
          <w:ilvl w:val="0"/>
          <w:numId w:val="5"/>
        </w:numPr>
        <w:spacing w:line="360" w:lineRule="auto"/>
        <w:rPr>
          <w:rFonts w:ascii="Times New Roman" w:hAnsi="Times New Roman"/>
          <w:sz w:val="24"/>
          <w:szCs w:val="24"/>
        </w:rPr>
      </w:pPr>
      <w:r>
        <w:rPr>
          <w:rFonts w:ascii="Times New Roman" w:hAnsi="Times New Roman"/>
          <w:sz w:val="24"/>
          <w:szCs w:val="24"/>
        </w:rPr>
        <w:t>Since it is very important that there is no water present in Grignard reagents. The Grignard reactions occur in solvent such as anhydrous ether because the oxygen stabilizes the magnesium reagent. Water used as a solvent will perform undesirable side reactions such as acid base reactions and this will greatly alter the purpose of this lab</w:t>
      </w:r>
    </w:p>
    <w:p w:rsidR="00AB447D" w:rsidRDefault="00AB447D" w:rsidP="00CF1DB1">
      <w:pPr>
        <w:pStyle w:val="NoSpacing"/>
        <w:numPr>
          <w:ilvl w:val="0"/>
          <w:numId w:val="5"/>
        </w:numPr>
        <w:spacing w:line="360" w:lineRule="auto"/>
        <w:rPr>
          <w:rFonts w:ascii="Times New Roman" w:hAnsi="Times New Roman"/>
          <w:sz w:val="24"/>
          <w:szCs w:val="24"/>
        </w:rPr>
      </w:pPr>
      <w:r>
        <w:rPr>
          <w:rFonts w:ascii="Times New Roman" w:hAnsi="Times New Roman"/>
          <w:sz w:val="24"/>
          <w:szCs w:val="24"/>
        </w:rPr>
        <w:t>Since the reaction can occur at room temperature, as the reaction subsides. There is no need to heat solution to high temperatures to assist the reaction. Therefore, a hot water bath will raise the temperature of the solution enough to continue to reaction. Another reason is safety measures. Ether was used in the experiment which is a very flammable substance and thus using flames could cause a fire. In order to ensure the safety of the people, a hot water bath is used.</w:t>
      </w:r>
    </w:p>
    <w:p w:rsidR="00AB447D" w:rsidRDefault="00AB447D" w:rsidP="00CF1DB1">
      <w:pPr>
        <w:pStyle w:val="NoSpacing"/>
        <w:numPr>
          <w:ilvl w:val="0"/>
          <w:numId w:val="5"/>
        </w:numPr>
        <w:spacing w:line="360" w:lineRule="auto"/>
        <w:rPr>
          <w:rFonts w:ascii="Times New Roman" w:hAnsi="Times New Roman"/>
          <w:sz w:val="24"/>
          <w:szCs w:val="24"/>
        </w:rPr>
      </w:pPr>
      <w:r>
        <w:rPr>
          <w:noProof/>
          <w:lang w:eastAsia="en-CA"/>
        </w:rPr>
        <w:pict>
          <v:shape id="Picture 4" o:spid="_x0000_s1026" type="#_x0000_t75" alt="http://acpcommunity.acp.edu/Facultystaff/hass/oc2web/lab/exp/grig/grig6.gif" style="position:absolute;left:0;text-align:left;margin-left:37.5pt;margin-top:0;width:303pt;height:168.75pt;z-index:251658240;visibility:visible" wrapcoords="15131 192 14810 576 14436 1344 14436 1728 12832 1920 11869 2496 11869 3264 4491 4032 3743 4224 3850 4800 3529 6336 3529 6624 4384 7872 1283 8160 1230 8928 1497 9408 1497 10944 535 12480 160 12864 107 15840 1069 17088 1283 17280 9891 18624 10800 18624 9891 19200 9891 20064 10747 20160 10105 20640 9838 20928 9891 21312 14168 21312 21493 21120 21440 20160 14008 20064 14008 19200 10800 18624 18392 18624 20851 18240 20745 14016 19408 12480 19461 10944 19836 9408 21547 8736 21440 7872 15986 7776 15826 6528 9891 6240 12457 5760 12137 4800 12457 4800 15184 3456 15238 3264 16467 1824 16521 1440 16200 576 15826 192 15131 192">
            <v:imagedata r:id="rId6" o:title=""/>
            <w10:wrap type="through"/>
          </v:shape>
        </w:pict>
      </w:r>
      <w:r>
        <w:rPr>
          <w:rFonts w:ascii="Times New Roman" w:hAnsi="Times New Roman"/>
          <w:sz w:val="24"/>
          <w:szCs w:val="24"/>
        </w:rPr>
        <w:t xml:space="preserve"> </w:t>
      </w: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Default="00AB447D" w:rsidP="00CD3343">
      <w:pPr>
        <w:pStyle w:val="NoSpacing"/>
        <w:spacing w:line="360" w:lineRule="auto"/>
        <w:rPr>
          <w:rFonts w:ascii="Times New Roman" w:hAnsi="Times New Roman"/>
          <w:sz w:val="24"/>
          <w:szCs w:val="24"/>
        </w:rPr>
      </w:pPr>
    </w:p>
    <w:p w:rsidR="00AB447D" w:rsidRPr="00E45E40" w:rsidRDefault="00AB447D" w:rsidP="00CD3343">
      <w:pPr>
        <w:pStyle w:val="NoSpacing"/>
        <w:numPr>
          <w:ilvl w:val="0"/>
          <w:numId w:val="5"/>
        </w:numPr>
        <w:spacing w:line="360" w:lineRule="auto"/>
        <w:rPr>
          <w:rFonts w:ascii="Times New Roman" w:hAnsi="Times New Roman"/>
          <w:sz w:val="24"/>
          <w:szCs w:val="24"/>
        </w:rPr>
      </w:pPr>
      <w:r>
        <w:rPr>
          <w:rFonts w:ascii="Times New Roman" w:hAnsi="Times New Roman"/>
          <w:sz w:val="24"/>
          <w:szCs w:val="24"/>
        </w:rPr>
        <w:t>It is important to use freshly obtained dry ice because it sublimates very quickly into the atmosphere. Since the atmosphere is very moist, if left out for a long period of time, the ice will absorb the moisture; and when mixed with the solution. The water in the ice will contaminate the solution and will not be able to continue the experiment.</w:t>
      </w:r>
    </w:p>
    <w:sectPr w:rsidR="00AB447D" w:rsidRPr="00E45E40" w:rsidSect="00675A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07167A"/>
    <w:multiLevelType w:val="hybridMultilevel"/>
    <w:tmpl w:val="C86EE23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2A345AA9"/>
    <w:multiLevelType w:val="hybridMultilevel"/>
    <w:tmpl w:val="4AD8BB5C"/>
    <w:lvl w:ilvl="0" w:tplc="8F0A19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291D7C"/>
    <w:multiLevelType w:val="hybridMultilevel"/>
    <w:tmpl w:val="C9DC89B8"/>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45120926"/>
    <w:multiLevelType w:val="hybridMultilevel"/>
    <w:tmpl w:val="8E722A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54033D60"/>
    <w:multiLevelType w:val="hybridMultilevel"/>
    <w:tmpl w:val="1688DFD8"/>
    <w:lvl w:ilvl="0" w:tplc="1C4009D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60F2"/>
    <w:rsid w:val="000B5E5E"/>
    <w:rsid w:val="00123638"/>
    <w:rsid w:val="00182F2B"/>
    <w:rsid w:val="001B08BA"/>
    <w:rsid w:val="001D5ADE"/>
    <w:rsid w:val="002353CB"/>
    <w:rsid w:val="002859E0"/>
    <w:rsid w:val="002A5DF7"/>
    <w:rsid w:val="00310B21"/>
    <w:rsid w:val="003C533C"/>
    <w:rsid w:val="003F5F18"/>
    <w:rsid w:val="004553C0"/>
    <w:rsid w:val="004A32AC"/>
    <w:rsid w:val="004E5DB7"/>
    <w:rsid w:val="005453CD"/>
    <w:rsid w:val="005B315B"/>
    <w:rsid w:val="005D5401"/>
    <w:rsid w:val="00622385"/>
    <w:rsid w:val="00675A93"/>
    <w:rsid w:val="007205DC"/>
    <w:rsid w:val="00726812"/>
    <w:rsid w:val="0074047B"/>
    <w:rsid w:val="007E6E4D"/>
    <w:rsid w:val="007F58A8"/>
    <w:rsid w:val="00846322"/>
    <w:rsid w:val="00897067"/>
    <w:rsid w:val="00907F56"/>
    <w:rsid w:val="009160F2"/>
    <w:rsid w:val="009362B3"/>
    <w:rsid w:val="00997BF4"/>
    <w:rsid w:val="009A561D"/>
    <w:rsid w:val="009B1ACB"/>
    <w:rsid w:val="009B796B"/>
    <w:rsid w:val="009E550A"/>
    <w:rsid w:val="00A22641"/>
    <w:rsid w:val="00A7787E"/>
    <w:rsid w:val="00AB447D"/>
    <w:rsid w:val="00AB6FA1"/>
    <w:rsid w:val="00AF6861"/>
    <w:rsid w:val="00B92944"/>
    <w:rsid w:val="00C40A11"/>
    <w:rsid w:val="00CA0C65"/>
    <w:rsid w:val="00CD20E7"/>
    <w:rsid w:val="00CD3343"/>
    <w:rsid w:val="00CF1DB1"/>
    <w:rsid w:val="00D1051C"/>
    <w:rsid w:val="00DC1BDB"/>
    <w:rsid w:val="00DE2547"/>
    <w:rsid w:val="00E322DF"/>
    <w:rsid w:val="00E45E40"/>
    <w:rsid w:val="00EA7BFB"/>
    <w:rsid w:val="00ED243B"/>
    <w:rsid w:val="00EE4BF7"/>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CA" w:eastAsia="en-C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A9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9160F2"/>
    <w:rPr>
      <w:lang w:eastAsia="en-US"/>
    </w:rPr>
  </w:style>
  <w:style w:type="table" w:styleId="TableGrid">
    <w:name w:val="Table Grid"/>
    <w:basedOn w:val="TableNormal"/>
    <w:uiPriority w:val="99"/>
    <w:rsid w:val="00E322D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1236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3638"/>
    <w:rPr>
      <w:rFonts w:ascii="Tahoma" w:hAnsi="Tahoma" w:cs="Tahoma"/>
      <w:sz w:val="16"/>
      <w:szCs w:val="16"/>
      <w:lang w:val="en-C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483</TotalTime>
  <Pages>9</Pages>
  <Words>1605</Words>
  <Characters>9151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 Saleh</dc:creator>
  <cp:keywords/>
  <dc:description/>
  <cp:lastModifiedBy>Yousef Al-Enzi</cp:lastModifiedBy>
  <cp:revision>18</cp:revision>
  <dcterms:created xsi:type="dcterms:W3CDTF">2007-03-24T17:24:00Z</dcterms:created>
  <dcterms:modified xsi:type="dcterms:W3CDTF">2009-04-08T14:08:00Z</dcterms:modified>
</cp:coreProperties>
</file>